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孟加拉商务签证所需材料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孟加拉商务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签证又叫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B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签证。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孟加拉商务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签证颁发给赴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孟加拉从事商务洽谈及合作的公民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官网所需材料及代办材料有所不同。以下是孟加拉大使馆官网公布的材料：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签证类型：孟加拉商务签证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有效期限：90天/半年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停留期限：30天/60天/90天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邀请函/介绍信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发自任何孟加拉公司，或有资质的孟加拉商业机构邀请函/资助函， 或来自任何有资质的与之相关的国家的工商会的介绍信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派遣函（原件）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•中国任职单位出具的派遣函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8720" w:type="dxa"/>
            <w:gridSpan w:val="3"/>
            <w:vAlign w:val="center"/>
          </w:tcPr>
          <w:p>
            <w:pPr>
              <w:ind w:firstLine="360" w:firstLineChars="200"/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备注：孟加拉商务签证有单次和多次之分，所有类型的商务签证均需要提供以上材料。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0000FF"/>
          <w:spacing w:val="0"/>
          <w:sz w:val="21"/>
          <w:szCs w:val="21"/>
          <w:lang w:val="en-US" w:eastAsia="zh-CN"/>
        </w:rPr>
        <w:t>温馨提示：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以上所需材料为使馆要求材料，若亲自办理则必须提供；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若代办，则只需要提供基本材料即可，无需邀请函和派遣函；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若申请人之前去过孟加拉，后续只能办理孟加拉商务签证，不能再办理旅游签证；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420" w:leftChars="20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如有必要，领馆有权要求申请人进一步提供其他材料，补充信息或进行面谈；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以上就是孟加拉商务签证办理材料，无论是在职人员还是学生均需要提供以上材料。提醒：若代办则仅需要简单材料，并且无需面试和本人前往使馆递交材料，若有需要可联系在线签证专员。</w:t>
      </w:r>
    </w:p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-285750</wp:posOffset>
          </wp:positionV>
          <wp:extent cx="1228090" cy="761365"/>
          <wp:effectExtent l="0" t="0" r="10160" b="0"/>
          <wp:wrapThrough wrapText="bothSides">
            <wp:wrapPolygon>
              <wp:start x="1675" y="2702"/>
              <wp:lineTo x="335" y="4864"/>
              <wp:lineTo x="0" y="19997"/>
              <wp:lineTo x="21109" y="19997"/>
              <wp:lineTo x="21109" y="4324"/>
              <wp:lineTo x="20438" y="3783"/>
              <wp:lineTo x="4691" y="2702"/>
              <wp:lineTo x="1675" y="2702"/>
            </wp:wrapPolygon>
          </wp:wrapThrough>
          <wp:docPr id="1" name="图片 1" descr="TIM图片20181129153644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IM图片20181129153644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0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D2DC"/>
    <w:multiLevelType w:val="singleLevel"/>
    <w:tmpl w:val="059AD2D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8E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2018-11-29T07:53:45Z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